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DAN PEMBUKAAN PERANCAH</w:t>
      </w:r>
    </w:p>
    <w:p>
      <w:pPr>
        <w:spacing w:after="480"/>
      </w:pPr>
      <w:r>
        <w:rPr>
          <w:rFonts w:ascii="Aptos" w:hAnsi="Aptos"/>
          <w:b w:val="0"/>
          <w:color w:val="5E6B78"/>
          <w:sz w:val="26"/>
        </w:rPr>
        <w:t>Scaffold Erection and Dismantling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dan pembukaan perancah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dan pembukaan perancah.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Certified scaffold components</w:t>
      </w:r>
    </w:p>
    <w:p>
      <w:pPr>
        <w:pStyle w:val="ListBullet"/>
        <w:spacing w:after="50"/>
        <w:ind w:left="369" w:hanging="170"/>
      </w:pPr>
      <w:r>
        <w:rPr>
          <w:rFonts w:ascii="Aptos" w:hAnsi="Aptos"/>
          <w:b w:val="0"/>
          <w:color w:val="263442"/>
          <w:sz w:val="19"/>
        </w:rPr>
        <w:t>Base plates</w:t>
      </w:r>
    </w:p>
    <w:p>
      <w:pPr>
        <w:pStyle w:val="ListBullet"/>
        <w:spacing w:after="50"/>
        <w:ind w:left="369" w:hanging="170"/>
      </w:pPr>
      <w:r>
        <w:rPr>
          <w:rFonts w:ascii="Aptos" w:hAnsi="Aptos"/>
          <w:b w:val="0"/>
          <w:color w:val="263442"/>
          <w:sz w:val="19"/>
        </w:rPr>
        <w:t>Ties</w:t>
      </w:r>
    </w:p>
    <w:p>
      <w:pPr>
        <w:pStyle w:val="ListBullet"/>
        <w:spacing w:after="50"/>
        <w:ind w:left="369" w:hanging="170"/>
      </w:pPr>
      <w:r>
        <w:rPr>
          <w:rFonts w:ascii="Aptos" w:hAnsi="Aptos"/>
          <w:b w:val="0"/>
          <w:color w:val="263442"/>
          <w:sz w:val="19"/>
        </w:rPr>
        <w:t>Decks</w:t>
      </w:r>
    </w:p>
    <w:p>
      <w:pPr>
        <w:pStyle w:val="ListBullet"/>
        <w:spacing w:after="50"/>
        <w:ind w:left="369" w:hanging="170"/>
      </w:pPr>
      <w:r>
        <w:rPr>
          <w:rFonts w:ascii="Aptos" w:hAnsi="Aptos"/>
          <w:b w:val="0"/>
          <w:color w:val="263442"/>
          <w:sz w:val="19"/>
        </w:rPr>
        <w:t>Guardrails</w:t>
      </w:r>
    </w:p>
    <w:p>
      <w:pPr>
        <w:pStyle w:val="ListBullet"/>
        <w:spacing w:after="50"/>
        <w:ind w:left="369" w:hanging="170"/>
      </w:pPr>
      <w:r>
        <w:rPr>
          <w:rFonts w:ascii="Aptos" w:hAnsi="Aptos"/>
          <w:b w:val="0"/>
          <w:color w:val="263442"/>
          <w:sz w:val="19"/>
        </w:rPr>
        <w:t>Tags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Alatan tangan</w:t>
      </w:r>
    </w:p>
    <w:p>
      <w:pPr>
        <w:pStyle w:val="ListBullet"/>
        <w:spacing w:after="50"/>
        <w:ind w:left="369" w:hanging="170"/>
      </w:pPr>
      <w:r>
        <w:rPr>
          <w:rFonts w:ascii="Aptos" w:hAnsi="Aptos"/>
          <w:b w:val="0"/>
          <w:color w:val="263442"/>
          <w:sz w:val="19"/>
        </w:rPr>
        <w:t>Hoist</w:t>
      </w:r>
    </w:p>
    <w:p>
      <w:pPr>
        <w:pStyle w:val="ListBullet"/>
        <w:spacing w:after="50"/>
        <w:ind w:left="369" w:hanging="170"/>
      </w:pPr>
      <w:r>
        <w:rPr>
          <w:rFonts w:ascii="Aptos" w:hAnsi="Aptos"/>
          <w:b w:val="0"/>
          <w:color w:val="263442"/>
          <w:sz w:val="19"/>
        </w:rPr>
        <w:t>Fall-arrest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dan pembukaan perancah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Certified scaffold components, Base plates, Ties, Decks, Guardrails, Tags.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scaffold reka bentuk atau standard configuration. </w:t>
      </w:r>
      <w:r>
        <w:rPr>
          <w:rFonts w:ascii="Aptos" w:hAnsi="Aptos"/>
          <w:b w:val="0"/>
          <w:color w:val="263442"/>
          <w:sz w:val="19"/>
        </w:rPr>
        <w:t>Sahkan scaffold reka bentuk atau standard configuration dan asas sesuaikan keadaan.</w:t>
      </w:r>
    </w:p>
    <w:p>
      <w:pPr>
        <w:keepLines/>
        <w:spacing w:after="100" w:line="269" w:lineRule="auto"/>
        <w:ind w:left="369" w:hanging="369"/>
      </w:pPr>
      <w:r>
        <w:rPr>
          <w:rFonts w:ascii="Aptos" w:hAnsi="Aptos"/>
          <w:b/>
          <w:color w:val="071E33"/>
          <w:sz w:val="19"/>
        </w:rPr>
        <w:t xml:space="preserve">2. Wujudkan  zon larangan. </w:t>
      </w:r>
      <w:r>
        <w:rPr>
          <w:rFonts w:ascii="Aptos" w:hAnsi="Aptos"/>
          <w:b w:val="0"/>
          <w:color w:val="263442"/>
          <w:sz w:val="19"/>
        </w:rPr>
        <w:t>Wujudkan  zon larangan dan periksa semua components.</w:t>
      </w:r>
    </w:p>
    <w:p>
      <w:pPr>
        <w:keepLines/>
        <w:spacing w:after="100" w:line="269" w:lineRule="auto"/>
        <w:ind w:left="369" w:hanging="369"/>
      </w:pPr>
      <w:r>
        <w:rPr>
          <w:rFonts w:ascii="Aptos" w:hAnsi="Aptos"/>
          <w:b/>
          <w:color w:val="071E33"/>
          <w:sz w:val="19"/>
        </w:rPr>
        <w:t xml:space="preserve">3. Dirikan secara berperingkat dengan bases. </w:t>
      </w:r>
      <w:r>
        <w:rPr>
          <w:rFonts w:ascii="Aptos" w:hAnsi="Aptos"/>
          <w:b w:val="0"/>
          <w:color w:val="263442"/>
          <w:sz w:val="19"/>
        </w:rPr>
        <w:t>Dirikan secara berperingkat dengan bases, standards, ledgers, bracing dan ties.</w:t>
      </w:r>
    </w:p>
    <w:p>
      <w:pPr>
        <w:keepLines/>
        <w:spacing w:after="100" w:line="269" w:lineRule="auto"/>
        <w:ind w:left="369" w:hanging="369"/>
      </w:pPr>
      <w:r>
        <w:rPr>
          <w:rFonts w:ascii="Aptos" w:hAnsi="Aptos"/>
          <w:b/>
          <w:color w:val="071E33"/>
          <w:sz w:val="19"/>
        </w:rPr>
        <w:t xml:space="preserve">4. Pasang full platforms. </w:t>
      </w:r>
      <w:r>
        <w:rPr>
          <w:rFonts w:ascii="Aptos" w:hAnsi="Aptos"/>
          <w:b w:val="0"/>
          <w:color w:val="263442"/>
          <w:sz w:val="19"/>
        </w:rPr>
        <w:t>Pasang full platforms, akses, guardrails dan toe boards.</w:t>
      </w:r>
    </w:p>
    <w:p>
      <w:pPr>
        <w:keepLines/>
        <w:spacing w:after="100" w:line="269" w:lineRule="auto"/>
        <w:ind w:left="369" w:hanging="369"/>
      </w:pPr>
      <w:r>
        <w:rPr>
          <w:rFonts w:ascii="Aptos" w:hAnsi="Aptos"/>
          <w:b/>
          <w:color w:val="071E33"/>
          <w:sz w:val="19"/>
        </w:rPr>
        <w:t xml:space="preserve">5. Periksa dan tag. </w:t>
      </w:r>
      <w:r>
        <w:rPr>
          <w:rFonts w:ascii="Aptos" w:hAnsi="Aptos"/>
          <w:b w:val="0"/>
          <w:color w:val="263442"/>
          <w:sz w:val="19"/>
        </w:rPr>
        <w:t>Periksa dan tag sebelum gunakan dan selepas events affecting kestabilan.</w:t>
      </w:r>
    </w:p>
    <w:p>
      <w:pPr>
        <w:keepLines/>
        <w:spacing w:after="100" w:line="269" w:lineRule="auto"/>
        <w:ind w:left="369" w:hanging="369"/>
      </w:pPr>
      <w:r>
        <w:rPr>
          <w:rFonts w:ascii="Aptos" w:hAnsi="Aptos"/>
          <w:b/>
          <w:color w:val="071E33"/>
          <w:sz w:val="19"/>
        </w:rPr>
        <w:t xml:space="preserve">6. Dismantle dalam reverse urutan under competent supervision.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component sesuaikan keadaan; asas; ties dan bracing; platform dan akses; pemeriksaan tag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jatuh dari tempat tinggi; objek jatuh; collapse; pengendalian manual.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Component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Asas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Ties dan bracing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Platform dan akses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Pemeriksaan tag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Jatuh dari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Collapse</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dan Pembukaan Perancah</dc:title>
  <dc:subject>Template penyata kaedah pembinaan yang boleh diedit</dc:subject>
  <dc:creator>Method Statement Hub Malaysia</dc:creator>
  <cp:keywords>scaffold, scaffolding, perancah</cp:keywords>
  <dc:description>generated by python-docx</dc:description>
  <cp:lastModifiedBy/>
  <cp:revision>1</cp:revision>
  <dcterms:created xsi:type="dcterms:W3CDTF">2013-12-23T23:15:00Z</dcterms:created>
  <dcterms:modified xsi:type="dcterms:W3CDTF">2013-12-23T23:15:00Z</dcterms:modified>
  <cp:category/>
</cp:coreProperties>
</file>